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E89CF0" w14:textId="2AA38998" w:rsidR="005B1CFA" w:rsidRPr="005B1CFA" w:rsidRDefault="005B1CFA" w:rsidP="005B1CFA">
      <w:pPr>
        <w:autoSpaceDE w:val="0"/>
        <w:autoSpaceDN w:val="0"/>
        <w:adjustRightInd w:val="0"/>
        <w:spacing w:after="0" w:line="240" w:lineRule="auto"/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</w:pPr>
      <w:r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S</w:t>
      </w:r>
      <w:r>
        <w:rPr>
          <w:rFonts w:ascii="Times New Roman" w:eastAsia="等线" w:hAnsi="Times New Roman" w:cs="Times New Roman" w:hint="eastAsia"/>
          <w:bCs/>
          <w:kern w:val="0"/>
          <w:sz w:val="21"/>
          <w:szCs w:val="21"/>
          <w:lang w:eastAsia="zh-CN"/>
          <w14:ligatures w14:val="none"/>
        </w:rPr>
        <w:t>upple</w:t>
      </w:r>
      <w:r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mentary file for</w:t>
      </w:r>
    </w:p>
    <w:p w14:paraId="15D96AF9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30"/>
          <w:szCs w:val="30"/>
          <w14:ligatures w14:val="none"/>
        </w:rPr>
      </w:pPr>
      <w:bookmarkStart w:id="0" w:name="_Hlk211547016"/>
      <w:r w:rsidRPr="005B1CFA">
        <w:rPr>
          <w:rFonts w:ascii="Times New Roman" w:eastAsia="等线" w:hAnsi="Times New Roman" w:cs="Times New Roman"/>
          <w:b/>
          <w:kern w:val="0"/>
          <w:sz w:val="30"/>
          <w:szCs w:val="30"/>
          <w14:ligatures w14:val="none"/>
        </w:rPr>
        <w:t>Machine Learning-Enabled Insights: Dihydromyricetin</w:t>
      </w:r>
      <w:r w:rsidRPr="005B1CFA">
        <w:rPr>
          <w:rFonts w:ascii="Times New Roman" w:eastAsia="等线" w:hAnsi="Times New Roman" w:cs="Times New Roman"/>
          <w:b/>
          <w:kern w:val="0"/>
          <w:sz w:val="30"/>
          <w:szCs w:val="30"/>
          <w:lang w:eastAsia="zh-CN"/>
          <w14:ligatures w14:val="none"/>
        </w:rPr>
        <w:t>’</w:t>
      </w:r>
      <w:r w:rsidRPr="005B1CFA">
        <w:rPr>
          <w:rFonts w:ascii="Times New Roman" w:eastAsia="等线" w:hAnsi="Times New Roman" w:cs="Times New Roman"/>
          <w:b/>
          <w:kern w:val="0"/>
          <w:sz w:val="30"/>
          <w:szCs w:val="30"/>
          <w14:ligatures w14:val="none"/>
        </w:rPr>
        <w:t>s Novel Role in Inhibiting the TGF-β/ALK5 Signaling Cascade for the Treatment of Pulmonary Fibrosis</w:t>
      </w:r>
    </w:p>
    <w:p w14:paraId="50E98662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bCs/>
          <w:kern w:val="0"/>
          <w14:ligatures w14:val="none"/>
        </w:rPr>
      </w:pP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 xml:space="preserve">Luyao </w:t>
      </w:r>
      <w:proofErr w:type="gramStart"/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Dong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proofErr w:type="gramEnd"/>
      <w:r w:rsidRPr="005B1CFA">
        <w:rPr>
          <w:rFonts w:ascii="Times New Roman" w:eastAsia="等线" w:hAnsi="Times New Roman" w:cs="Times New Roman"/>
          <w:bCs/>
          <w:kern w:val="0"/>
          <w:vertAlign w:val="superscript"/>
          <w:lang w:eastAsia="zh-CN"/>
          <w14:ligatures w14:val="none"/>
        </w:rPr>
        <w:t>,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#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Wenting Dong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a,b,#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Yixin Ren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c,d,e,#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Chunjie Xu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Xiukun Wang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Peiyi Sun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Yao Meng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Congran Li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Guoqing Li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Jiandong Jiang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f,g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, Hao Wang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c,d,e,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*, Xuefu You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a,h.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*, Xinyi Yang</w:t>
      </w:r>
      <w:r w:rsidRPr="005B1CFA">
        <w:rPr>
          <w:rFonts w:ascii="Times New Roman" w:eastAsia="等线" w:hAnsi="Times New Roman" w:cs="Times New Roman"/>
          <w:bCs/>
          <w:kern w:val="0"/>
          <w:vertAlign w:val="superscript"/>
          <w14:ligatures w14:val="none"/>
        </w:rPr>
        <w:t>a,b,</w:t>
      </w:r>
      <w:r w:rsidRPr="005B1CFA">
        <w:rPr>
          <w:rFonts w:ascii="Times New Roman" w:eastAsia="等线" w:hAnsi="Times New Roman" w:cs="Times New Roman"/>
          <w:bCs/>
          <w:kern w:val="0"/>
          <w14:ligatures w14:val="none"/>
        </w:rPr>
        <w:t>*</w:t>
      </w:r>
    </w:p>
    <w:p w14:paraId="29D532B9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a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Beijing Key Laboratory of Technology and Application forAnti-Infective New Drugs Research and Development/Laboratory of Pharmacology, Institute of Medicinal Biotechnology, Chinese Academy of Medical Sciences &amp; Peking Union Medical College, Beijing 100050, China</w:t>
      </w:r>
    </w:p>
    <w:p w14:paraId="7307A3DE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b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State Key Laboratory of Respiratory Health and Multimorbidity, Institute of Medicinal Biotechnology, Chinese Academy of Medical Sciences &amp; Peking Union Medical College, Beijing 100050, China</w:t>
      </w:r>
    </w:p>
    <w:p w14:paraId="0726727D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c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Institute of National Security, Minzu University of China, Beijing 100081, China</w:t>
      </w:r>
    </w:p>
    <w:p w14:paraId="6902DC2E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d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School of Pharmacy, Minzu University of China, Beijing 100081, China</w:t>
      </w:r>
    </w:p>
    <w:p w14:paraId="2DC5C873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e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Key Laboratory of Ethnomedicine, Ministry of Education, Minzu University of China, Beijing 100081, China</w:t>
      </w:r>
    </w:p>
    <w:p w14:paraId="17A7A14C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f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State Key Laboratory of Bioactive Substances and Function of Natural Medicines, Institute of Materia Medica, Chinese Academy of Medical Sciences &amp; Peking Union Medical College, Beijing 100050, China</w:t>
      </w:r>
    </w:p>
    <w:p w14:paraId="14E398F5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g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Institute of Medicinal Biotechnology, Chinese Academy of Medical Sciences &amp; Peking Union Medical College, Beijing 100050, China</w:t>
      </w:r>
    </w:p>
    <w:p w14:paraId="7A6FB941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:vertAlign w:val="superscript"/>
          <w14:ligatures w14:val="none"/>
        </w:rPr>
        <w:t>h</w:t>
      </w: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 xml:space="preserve"> State Key Laboratory of Bioactive Substances and Function of Natural Medicines, Institute of Medicinal Biotechnology, Chinese Academy of Medical Sciences &amp; Peking Union Medical College, Beijing 100050, China</w:t>
      </w:r>
    </w:p>
    <w:p w14:paraId="2B22F30B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</w:pPr>
    </w:p>
    <w:p w14:paraId="76D2AD5B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5B1CFA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#</w:t>
      </w:r>
      <w:r w:rsidRPr="005B1CFA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These authors contributed equally to this work.</w:t>
      </w:r>
    </w:p>
    <w:p w14:paraId="0B517D63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</w:pPr>
    </w:p>
    <w:p w14:paraId="50440639" w14:textId="77777777" w:rsidR="005B1CFA" w:rsidRPr="005B1CFA" w:rsidRDefault="005B1CFA" w:rsidP="005B1CFA">
      <w:pPr>
        <w:adjustRightInd w:val="0"/>
        <w:snapToGrid w:val="0"/>
        <w:spacing w:after="0" w:line="240" w:lineRule="auto"/>
        <w:jc w:val="both"/>
        <w:rPr>
          <w:rFonts w:ascii="Times New Roman" w:eastAsia="宋体" w:hAnsi="Times New Roman" w:cs="Times New Roman"/>
          <w:kern w:val="0"/>
          <w:sz w:val="18"/>
          <w:szCs w:val="18"/>
          <w:lang w:eastAsia="zh-CN"/>
          <w14:ligatures w14:val="none"/>
        </w:rPr>
      </w:pPr>
      <w:r w:rsidRPr="005B1CFA">
        <w:rPr>
          <w:rFonts w:ascii="Times New Roman" w:eastAsia="宋体" w:hAnsi="Times New Roman" w:cs="Times New Roman"/>
          <w:kern w:val="0"/>
          <w:sz w:val="18"/>
          <w:szCs w:val="18"/>
          <w14:ligatures w14:val="none"/>
        </w:rPr>
        <w:t>* Corresponding authors.</w:t>
      </w:r>
    </w:p>
    <w:p w14:paraId="5CAF8894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:lang w:eastAsia="zh-CN"/>
          <w14:ligatures w14:val="none"/>
        </w:rPr>
      </w:pPr>
      <w:r w:rsidRPr="005B1CFA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E-mail addresses:</w:t>
      </w:r>
      <w:r w:rsidRPr="005B1CFA">
        <w:rPr>
          <w:rFonts w:ascii="Times New Roman" w:eastAsia="等线" w:hAnsi="Times New Roman" w:cs="Times New Roman"/>
          <w:kern w:val="0"/>
          <w14:ligatures w14:val="none"/>
        </w:rPr>
        <w:t xml:space="preserve"> </w:t>
      </w:r>
      <w:r w:rsidRPr="005B1CFA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xinyiyang@imb.cams.cn</w:t>
      </w:r>
      <w:r w:rsidRPr="005B1CFA">
        <w:rPr>
          <w:rFonts w:ascii="Times New Roman" w:eastAsia="等线" w:hAnsi="Times New Roman" w:cs="Times New Roman" w:hint="eastAsia"/>
          <w:kern w:val="0"/>
          <w:sz w:val="18"/>
          <w:szCs w:val="18"/>
          <w:lang w:eastAsia="zh-CN"/>
          <w14:ligatures w14:val="none"/>
        </w:rPr>
        <w:t xml:space="preserve"> (X. Yang);</w:t>
      </w:r>
      <w:r w:rsidRPr="005B1CFA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xuefuyou@imb.pumc.edu.cn</w:t>
      </w:r>
      <w:r w:rsidRPr="005B1CFA">
        <w:rPr>
          <w:rFonts w:ascii="Times New Roman" w:eastAsia="等线" w:hAnsi="Times New Roman" w:cs="Times New Roman" w:hint="eastAsia"/>
          <w:kern w:val="0"/>
          <w:sz w:val="18"/>
          <w:szCs w:val="18"/>
          <w:lang w:eastAsia="zh-CN"/>
          <w14:ligatures w14:val="none"/>
        </w:rPr>
        <w:t xml:space="preserve"> (X. You); </w:t>
      </w:r>
      <w:r w:rsidRPr="005B1CFA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hao.wang@muc.edu.cn</w:t>
      </w:r>
      <w:r w:rsidRPr="005B1CFA">
        <w:rPr>
          <w:rFonts w:ascii="Times New Roman" w:eastAsia="等线" w:hAnsi="Times New Roman" w:cs="Times New Roman" w:hint="eastAsia"/>
          <w:kern w:val="0"/>
          <w:sz w:val="18"/>
          <w:szCs w:val="18"/>
          <w:lang w:eastAsia="zh-CN"/>
          <w14:ligatures w14:val="none"/>
        </w:rPr>
        <w:t xml:space="preserve"> (H. Wang)</w:t>
      </w:r>
    </w:p>
    <w:bookmarkEnd w:id="0"/>
    <w:p w14:paraId="551787BB" w14:textId="77777777" w:rsidR="005B1CFA" w:rsidRPr="005B1CFA" w:rsidRDefault="005B1CFA" w:rsidP="005B1CFA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:lang w:eastAsia="zh-CN"/>
          <w14:ligatures w14:val="none"/>
        </w:rPr>
      </w:pPr>
    </w:p>
    <w:p w14:paraId="0D162C57" w14:textId="1073BB09" w:rsidR="00A21C36" w:rsidRPr="00F212DE" w:rsidRDefault="00A21C36" w:rsidP="00F212DE">
      <w:pPr>
        <w:autoSpaceDE w:val="0"/>
        <w:autoSpaceDN w:val="0"/>
        <w:adjustRightInd w:val="0"/>
        <w:snapToGrid w:val="0"/>
        <w:spacing w:after="0" w:line="240" w:lineRule="auto"/>
        <w:ind w:firstLineChars="100" w:firstLine="210"/>
        <w:jc w:val="both"/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</w:pPr>
      <w:r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Table S1</w:t>
      </w:r>
      <w:r w:rsidR="00F212DE"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 xml:space="preserve"> is about the i</w:t>
      </w:r>
      <w:r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nformation of 408 positive compounds predicted by a machine learning-based classification model.</w:t>
      </w:r>
      <w:r w:rsidR="00F212DE" w:rsidRPr="00F212DE">
        <w:rPr>
          <w:rFonts w:ascii="Times New Roman" w:eastAsia="等线" w:hAnsi="Times New Roman" w:cs="Times New Roman" w:hint="eastAsia"/>
          <w:bCs/>
          <w:kern w:val="0"/>
          <w:sz w:val="21"/>
          <w:szCs w:val="21"/>
          <w:lang w:eastAsia="zh-CN"/>
          <w14:ligatures w14:val="none"/>
        </w:rPr>
        <w:t xml:space="preserve"> </w:t>
      </w:r>
      <w:r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 xml:space="preserve">As shown in an excel file </w:t>
      </w:r>
      <w:r w:rsidR="00F212DE"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attached</w:t>
      </w:r>
      <w:r w:rsidRPr="00F212DE">
        <w:rPr>
          <w:rFonts w:ascii="Times New Roman" w:eastAsia="等线" w:hAnsi="Times New Roman" w:cs="Times New Roman"/>
          <w:bCs/>
          <w:kern w:val="0"/>
          <w:sz w:val="21"/>
          <w:szCs w:val="21"/>
          <w14:ligatures w14:val="none"/>
        </w:rPr>
        <w:t>.</w:t>
      </w:r>
    </w:p>
    <w:p w14:paraId="07682685" w14:textId="77777777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</w:pPr>
    </w:p>
    <w:p w14:paraId="26AFD076" w14:textId="691C8D5D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Table S2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</w:p>
    <w:p w14:paraId="56ED6D3F" w14:textId="2123F9C3" w:rsidR="00A21C36" w:rsidRPr="00A21C36" w:rsidRDefault="0024747F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Screening</w:t>
      </w:r>
      <w:r w:rsidR="00A21C36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results of natural compounds on TGF-β/SMAD signaling by a machine learning-based classification model and a dual-luciferase reporter assay.</w:t>
      </w:r>
    </w:p>
    <w:tbl>
      <w:tblPr>
        <w:tblStyle w:val="af5"/>
        <w:tblW w:w="8364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1276"/>
        <w:gridCol w:w="1701"/>
        <w:gridCol w:w="1559"/>
        <w:gridCol w:w="3828"/>
      </w:tblGrid>
      <w:tr w:rsidR="00A21C36" w:rsidRPr="00A21C36" w14:paraId="11590108" w14:textId="77777777" w:rsidTr="005F23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0"/>
        </w:trPr>
        <w:tc>
          <w:tcPr>
            <w:tcW w:w="1276" w:type="dxa"/>
            <w:noWrap/>
            <w:vAlign w:val="center"/>
          </w:tcPr>
          <w:p w14:paraId="6D85004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Compound ID</w:t>
            </w:r>
          </w:p>
        </w:tc>
        <w:tc>
          <w:tcPr>
            <w:tcW w:w="1701" w:type="dxa"/>
            <w:vAlign w:val="center"/>
          </w:tcPr>
          <w:p w14:paraId="226856F9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Compound name</w:t>
            </w:r>
          </w:p>
        </w:tc>
        <w:tc>
          <w:tcPr>
            <w:tcW w:w="1559" w:type="dxa"/>
            <w:vAlign w:val="center"/>
          </w:tcPr>
          <w:p w14:paraId="17DD445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Predicted score</w:t>
            </w:r>
          </w:p>
        </w:tc>
        <w:tc>
          <w:tcPr>
            <w:tcW w:w="3828" w:type="dxa"/>
            <w:noWrap/>
            <w:vAlign w:val="center"/>
          </w:tcPr>
          <w:p w14:paraId="1E933B5C" w14:textId="1F175FF3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Detected inhibition (%, mean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SD) at 50 μ</w:t>
            </w:r>
            <w:r w:rsidR="0024747F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mol∙L</w:t>
            </w:r>
            <w:r w:rsidR="0024747F" w:rsidRPr="0024747F">
              <w:rPr>
                <w:rFonts w:ascii="Times New Roman" w:eastAsia="等线" w:hAnsi="Times New Roman" w:cs="Times New Roman"/>
                <w:kern w:val="0"/>
                <w:sz w:val="15"/>
                <w:szCs w:val="15"/>
                <w:vertAlign w:val="superscript"/>
                <w14:ligatures w14:val="none"/>
              </w:rPr>
              <w:t>–1</w:t>
            </w:r>
          </w:p>
        </w:tc>
      </w:tr>
      <w:tr w:rsidR="00A21C36" w:rsidRPr="00A21C36" w14:paraId="36E4F4A0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1E8943C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DHM</w:t>
            </w:r>
          </w:p>
        </w:tc>
        <w:tc>
          <w:tcPr>
            <w:tcW w:w="1701" w:type="dxa"/>
            <w:vAlign w:val="center"/>
          </w:tcPr>
          <w:p w14:paraId="12F937A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Dihydromyricetin</w:t>
            </w:r>
          </w:p>
        </w:tc>
        <w:tc>
          <w:tcPr>
            <w:tcW w:w="1559" w:type="dxa"/>
            <w:vAlign w:val="center"/>
          </w:tcPr>
          <w:p w14:paraId="7DD7E04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0.6385</w:t>
            </w:r>
          </w:p>
        </w:tc>
        <w:tc>
          <w:tcPr>
            <w:tcW w:w="3828" w:type="dxa"/>
            <w:noWrap/>
            <w:vAlign w:val="center"/>
          </w:tcPr>
          <w:p w14:paraId="5DC3AD87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45.92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0.63</w:t>
            </w:r>
          </w:p>
        </w:tc>
      </w:tr>
      <w:tr w:rsidR="00A21C36" w:rsidRPr="00A21C36" w14:paraId="538DACCF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08897D23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B2</w:t>
            </w:r>
          </w:p>
        </w:tc>
        <w:tc>
          <w:tcPr>
            <w:tcW w:w="1701" w:type="dxa"/>
            <w:vAlign w:val="center"/>
          </w:tcPr>
          <w:p w14:paraId="1D92677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24747F">
              <w:rPr>
                <w:rFonts w:ascii="Times New Roman" w:eastAsia="等线" w:hAnsi="Times New Roman" w:cs="Times New Roman"/>
                <w:i/>
                <w:iCs/>
                <w:kern w:val="0"/>
                <w:sz w:val="15"/>
                <w:szCs w:val="15"/>
                <w14:ligatures w14:val="none"/>
              </w:rPr>
              <w:t>L</w:t>
            </w: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-Theanine</w:t>
            </w:r>
          </w:p>
        </w:tc>
        <w:tc>
          <w:tcPr>
            <w:tcW w:w="1559" w:type="dxa"/>
            <w:vAlign w:val="center"/>
          </w:tcPr>
          <w:p w14:paraId="1498A344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0.8764</w:t>
            </w:r>
          </w:p>
        </w:tc>
        <w:tc>
          <w:tcPr>
            <w:tcW w:w="3828" w:type="dxa"/>
            <w:noWrap/>
            <w:vAlign w:val="center"/>
          </w:tcPr>
          <w:p w14:paraId="3EBC296A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32.47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2.81</w:t>
            </w:r>
          </w:p>
        </w:tc>
      </w:tr>
      <w:tr w:rsidR="00A21C36" w:rsidRPr="00A21C36" w14:paraId="1F2080DE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7D2B7137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A9</w:t>
            </w:r>
          </w:p>
        </w:tc>
        <w:tc>
          <w:tcPr>
            <w:tcW w:w="1701" w:type="dxa"/>
            <w:vAlign w:val="center"/>
          </w:tcPr>
          <w:p w14:paraId="06A33A07" w14:textId="6E3D7B3D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Euphorbiasteroid</w:t>
            </w:r>
          </w:p>
        </w:tc>
        <w:tc>
          <w:tcPr>
            <w:tcW w:w="1559" w:type="dxa"/>
            <w:vAlign w:val="center"/>
          </w:tcPr>
          <w:p w14:paraId="3EF5D983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0.9587</w:t>
            </w:r>
          </w:p>
        </w:tc>
        <w:tc>
          <w:tcPr>
            <w:tcW w:w="3828" w:type="dxa"/>
            <w:noWrap/>
            <w:vAlign w:val="center"/>
          </w:tcPr>
          <w:p w14:paraId="78A64E8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31.80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4.04</w:t>
            </w:r>
          </w:p>
        </w:tc>
      </w:tr>
      <w:tr w:rsidR="00A21C36" w:rsidRPr="00A21C36" w14:paraId="082A5680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3CFC920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B1</w:t>
            </w:r>
          </w:p>
        </w:tc>
        <w:tc>
          <w:tcPr>
            <w:tcW w:w="1701" w:type="dxa"/>
            <w:vAlign w:val="center"/>
          </w:tcPr>
          <w:p w14:paraId="407BC88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Taxifolin</w:t>
            </w:r>
          </w:p>
        </w:tc>
        <w:tc>
          <w:tcPr>
            <w:tcW w:w="1559" w:type="dxa"/>
            <w:vAlign w:val="center"/>
          </w:tcPr>
          <w:p w14:paraId="67C99C2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0.6659</w:t>
            </w:r>
          </w:p>
        </w:tc>
        <w:tc>
          <w:tcPr>
            <w:tcW w:w="3828" w:type="dxa"/>
            <w:noWrap/>
            <w:vAlign w:val="center"/>
          </w:tcPr>
          <w:p w14:paraId="3C78FA6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16.99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5.79</w:t>
            </w:r>
          </w:p>
        </w:tc>
      </w:tr>
      <w:tr w:rsidR="00A21C36" w:rsidRPr="00A21C36" w14:paraId="352A58CB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5B45184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C7</w:t>
            </w:r>
          </w:p>
        </w:tc>
        <w:tc>
          <w:tcPr>
            <w:tcW w:w="1701" w:type="dxa"/>
            <w:vAlign w:val="center"/>
          </w:tcPr>
          <w:p w14:paraId="04C078D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Schisandrin</w:t>
            </w:r>
          </w:p>
        </w:tc>
        <w:tc>
          <w:tcPr>
            <w:tcW w:w="1559" w:type="dxa"/>
            <w:vAlign w:val="center"/>
          </w:tcPr>
          <w:p w14:paraId="66E79F6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0.6923</w:t>
            </w:r>
          </w:p>
        </w:tc>
        <w:tc>
          <w:tcPr>
            <w:tcW w:w="3828" w:type="dxa"/>
            <w:noWrap/>
            <w:vAlign w:val="center"/>
          </w:tcPr>
          <w:p w14:paraId="5EDBE699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15.35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3.68</w:t>
            </w:r>
          </w:p>
        </w:tc>
      </w:tr>
      <w:tr w:rsidR="00A21C36" w:rsidRPr="00A21C36" w14:paraId="61AA1CC7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349D3C1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B12</w:t>
            </w:r>
          </w:p>
        </w:tc>
        <w:tc>
          <w:tcPr>
            <w:tcW w:w="1701" w:type="dxa"/>
            <w:vAlign w:val="center"/>
          </w:tcPr>
          <w:p w14:paraId="0F16F7C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Paeonol</w:t>
            </w:r>
          </w:p>
        </w:tc>
        <w:tc>
          <w:tcPr>
            <w:tcW w:w="1559" w:type="dxa"/>
            <w:vAlign w:val="center"/>
          </w:tcPr>
          <w:p w14:paraId="7F2B5FD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0.9957</w:t>
            </w:r>
          </w:p>
        </w:tc>
        <w:tc>
          <w:tcPr>
            <w:tcW w:w="3828" w:type="dxa"/>
            <w:noWrap/>
            <w:vAlign w:val="center"/>
          </w:tcPr>
          <w:p w14:paraId="3E085B7A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14.80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9.68</w:t>
            </w:r>
          </w:p>
        </w:tc>
      </w:tr>
      <w:tr w:rsidR="00A21C36" w:rsidRPr="00A21C36" w14:paraId="2A3C7D69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561EE6BE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A11</w:t>
            </w:r>
          </w:p>
        </w:tc>
        <w:tc>
          <w:tcPr>
            <w:tcW w:w="1701" w:type="dxa"/>
            <w:vAlign w:val="center"/>
          </w:tcPr>
          <w:p w14:paraId="7A86E8C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Cycloastragenol</w:t>
            </w:r>
          </w:p>
        </w:tc>
        <w:tc>
          <w:tcPr>
            <w:tcW w:w="1559" w:type="dxa"/>
            <w:vAlign w:val="center"/>
          </w:tcPr>
          <w:p w14:paraId="249E0240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0.9046</w:t>
            </w:r>
          </w:p>
        </w:tc>
        <w:tc>
          <w:tcPr>
            <w:tcW w:w="3828" w:type="dxa"/>
            <w:noWrap/>
            <w:vAlign w:val="center"/>
          </w:tcPr>
          <w:p w14:paraId="5CC91BC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14.13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6.72</w:t>
            </w:r>
          </w:p>
        </w:tc>
      </w:tr>
      <w:tr w:rsidR="00A21C36" w:rsidRPr="00A21C36" w14:paraId="50E4CDFB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6DA3FB3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B7</w:t>
            </w:r>
          </w:p>
        </w:tc>
        <w:tc>
          <w:tcPr>
            <w:tcW w:w="1701" w:type="dxa"/>
            <w:vAlign w:val="center"/>
          </w:tcPr>
          <w:p w14:paraId="46EA21A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Crocetin</w:t>
            </w:r>
          </w:p>
        </w:tc>
        <w:tc>
          <w:tcPr>
            <w:tcW w:w="1559" w:type="dxa"/>
            <w:vAlign w:val="center"/>
          </w:tcPr>
          <w:p w14:paraId="1F1B1E34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0.7119</w:t>
            </w:r>
          </w:p>
        </w:tc>
        <w:tc>
          <w:tcPr>
            <w:tcW w:w="3828" w:type="dxa"/>
            <w:noWrap/>
            <w:vAlign w:val="center"/>
          </w:tcPr>
          <w:p w14:paraId="6E626C6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11.87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9.70</w:t>
            </w:r>
          </w:p>
        </w:tc>
      </w:tr>
      <w:tr w:rsidR="00A21C36" w:rsidRPr="00A21C36" w14:paraId="6A1E5D52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74BF030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B3</w:t>
            </w:r>
          </w:p>
        </w:tc>
        <w:tc>
          <w:tcPr>
            <w:tcW w:w="1701" w:type="dxa"/>
            <w:vAlign w:val="center"/>
          </w:tcPr>
          <w:p w14:paraId="5EE50700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Glycyrrhizic acid</w:t>
            </w:r>
          </w:p>
        </w:tc>
        <w:tc>
          <w:tcPr>
            <w:tcW w:w="1559" w:type="dxa"/>
            <w:vAlign w:val="center"/>
          </w:tcPr>
          <w:p w14:paraId="134A7FD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0.7876</w:t>
            </w:r>
          </w:p>
        </w:tc>
        <w:tc>
          <w:tcPr>
            <w:tcW w:w="3828" w:type="dxa"/>
            <w:noWrap/>
            <w:vAlign w:val="center"/>
          </w:tcPr>
          <w:p w14:paraId="2C162F39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10.92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11.08</w:t>
            </w:r>
          </w:p>
        </w:tc>
      </w:tr>
      <w:tr w:rsidR="00A21C36" w:rsidRPr="00A21C36" w14:paraId="4CB3F85C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29EEF4C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A1</w:t>
            </w:r>
          </w:p>
        </w:tc>
        <w:tc>
          <w:tcPr>
            <w:tcW w:w="1701" w:type="dxa"/>
            <w:vAlign w:val="center"/>
          </w:tcPr>
          <w:p w14:paraId="4F320010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Hydroxygenkwanin</w:t>
            </w:r>
          </w:p>
        </w:tc>
        <w:tc>
          <w:tcPr>
            <w:tcW w:w="1559" w:type="dxa"/>
            <w:vAlign w:val="center"/>
          </w:tcPr>
          <w:p w14:paraId="4C394A5E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0.7940</w:t>
            </w:r>
          </w:p>
        </w:tc>
        <w:tc>
          <w:tcPr>
            <w:tcW w:w="3828" w:type="dxa"/>
            <w:noWrap/>
            <w:vAlign w:val="center"/>
          </w:tcPr>
          <w:p w14:paraId="4CE6C8D9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5.07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12.93</w:t>
            </w:r>
          </w:p>
        </w:tc>
      </w:tr>
      <w:tr w:rsidR="00A21C36" w:rsidRPr="00A21C36" w14:paraId="4588871C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2F4BBED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B11</w:t>
            </w:r>
          </w:p>
        </w:tc>
        <w:tc>
          <w:tcPr>
            <w:tcW w:w="1701" w:type="dxa"/>
            <w:vAlign w:val="center"/>
          </w:tcPr>
          <w:p w14:paraId="07E5C4C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Neohesperidin</w:t>
            </w:r>
          </w:p>
        </w:tc>
        <w:tc>
          <w:tcPr>
            <w:tcW w:w="1559" w:type="dxa"/>
            <w:vAlign w:val="center"/>
          </w:tcPr>
          <w:p w14:paraId="14BBE63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0.9752</w:t>
            </w:r>
          </w:p>
        </w:tc>
        <w:tc>
          <w:tcPr>
            <w:tcW w:w="3828" w:type="dxa"/>
            <w:noWrap/>
            <w:vAlign w:val="center"/>
          </w:tcPr>
          <w:p w14:paraId="077C45A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4.55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13.04</w:t>
            </w:r>
          </w:p>
        </w:tc>
      </w:tr>
      <w:tr w:rsidR="00A21C36" w:rsidRPr="00A21C36" w14:paraId="5F9FE335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21B4118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A3</w:t>
            </w:r>
          </w:p>
        </w:tc>
        <w:tc>
          <w:tcPr>
            <w:tcW w:w="1701" w:type="dxa"/>
            <w:vAlign w:val="center"/>
          </w:tcPr>
          <w:p w14:paraId="1411C93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Naringin</w:t>
            </w:r>
          </w:p>
        </w:tc>
        <w:tc>
          <w:tcPr>
            <w:tcW w:w="1559" w:type="dxa"/>
            <w:vAlign w:val="center"/>
          </w:tcPr>
          <w:p w14:paraId="0960A337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0.9942</w:t>
            </w:r>
          </w:p>
        </w:tc>
        <w:tc>
          <w:tcPr>
            <w:tcW w:w="3828" w:type="dxa"/>
            <w:noWrap/>
            <w:vAlign w:val="center"/>
          </w:tcPr>
          <w:p w14:paraId="5B6227D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2.14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11.50</w:t>
            </w:r>
          </w:p>
        </w:tc>
      </w:tr>
      <w:tr w:rsidR="00A21C36" w:rsidRPr="00A21C36" w14:paraId="416B0A70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13DC629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C5</w:t>
            </w:r>
          </w:p>
        </w:tc>
        <w:tc>
          <w:tcPr>
            <w:tcW w:w="1701" w:type="dxa"/>
            <w:vAlign w:val="center"/>
          </w:tcPr>
          <w:p w14:paraId="08BFEC44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Curcumol</w:t>
            </w:r>
          </w:p>
        </w:tc>
        <w:tc>
          <w:tcPr>
            <w:tcW w:w="1559" w:type="dxa"/>
            <w:vAlign w:val="center"/>
          </w:tcPr>
          <w:p w14:paraId="45D7AE44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0.7542</w:t>
            </w:r>
          </w:p>
        </w:tc>
        <w:tc>
          <w:tcPr>
            <w:tcW w:w="3828" w:type="dxa"/>
            <w:noWrap/>
            <w:vAlign w:val="center"/>
          </w:tcPr>
          <w:p w14:paraId="7E453E1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0.97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6.80</w:t>
            </w:r>
          </w:p>
        </w:tc>
      </w:tr>
      <w:tr w:rsidR="00A21C36" w:rsidRPr="00A21C36" w14:paraId="3A325818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427C32B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B10</w:t>
            </w:r>
          </w:p>
        </w:tc>
        <w:tc>
          <w:tcPr>
            <w:tcW w:w="1701" w:type="dxa"/>
            <w:vAlign w:val="center"/>
          </w:tcPr>
          <w:p w14:paraId="31B19F7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Oxyresveratrol</w:t>
            </w:r>
          </w:p>
        </w:tc>
        <w:tc>
          <w:tcPr>
            <w:tcW w:w="1559" w:type="dxa"/>
            <w:vAlign w:val="center"/>
          </w:tcPr>
          <w:p w14:paraId="064093E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0.7629</w:t>
            </w:r>
          </w:p>
        </w:tc>
        <w:tc>
          <w:tcPr>
            <w:tcW w:w="3828" w:type="dxa"/>
            <w:noWrap/>
            <w:vAlign w:val="center"/>
          </w:tcPr>
          <w:p w14:paraId="767679FA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−1.27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11.97</w:t>
            </w:r>
          </w:p>
        </w:tc>
      </w:tr>
      <w:tr w:rsidR="00A21C36" w:rsidRPr="00A21C36" w14:paraId="03D1B0D2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386A5654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B9</w:t>
            </w:r>
          </w:p>
        </w:tc>
        <w:tc>
          <w:tcPr>
            <w:tcW w:w="1701" w:type="dxa"/>
            <w:vAlign w:val="center"/>
          </w:tcPr>
          <w:p w14:paraId="627EA48A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Stigmasterol</w:t>
            </w:r>
          </w:p>
        </w:tc>
        <w:tc>
          <w:tcPr>
            <w:tcW w:w="1559" w:type="dxa"/>
            <w:vAlign w:val="center"/>
          </w:tcPr>
          <w:p w14:paraId="2F7B1BA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0.7822</w:t>
            </w:r>
          </w:p>
        </w:tc>
        <w:tc>
          <w:tcPr>
            <w:tcW w:w="3828" w:type="dxa"/>
            <w:noWrap/>
            <w:vAlign w:val="center"/>
          </w:tcPr>
          <w:p w14:paraId="20E171A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−5.02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5.87</w:t>
            </w:r>
          </w:p>
        </w:tc>
      </w:tr>
      <w:tr w:rsidR="00A21C36" w:rsidRPr="00A21C36" w14:paraId="6DEC9C23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1E790EA8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C1</w:t>
            </w:r>
          </w:p>
        </w:tc>
        <w:tc>
          <w:tcPr>
            <w:tcW w:w="1701" w:type="dxa"/>
            <w:vAlign w:val="center"/>
          </w:tcPr>
          <w:p w14:paraId="2533F68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Limonin</w:t>
            </w:r>
          </w:p>
        </w:tc>
        <w:tc>
          <w:tcPr>
            <w:tcW w:w="1559" w:type="dxa"/>
            <w:vAlign w:val="center"/>
          </w:tcPr>
          <w:p w14:paraId="5584AAE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0.6079</w:t>
            </w:r>
          </w:p>
        </w:tc>
        <w:tc>
          <w:tcPr>
            <w:tcW w:w="3828" w:type="dxa"/>
            <w:noWrap/>
            <w:vAlign w:val="center"/>
          </w:tcPr>
          <w:p w14:paraId="5D9D12F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−10.98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5.45</w:t>
            </w:r>
          </w:p>
        </w:tc>
      </w:tr>
      <w:tr w:rsidR="00A21C36" w:rsidRPr="00A21C36" w14:paraId="2034CC63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292EDCD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B8</w:t>
            </w:r>
          </w:p>
        </w:tc>
        <w:tc>
          <w:tcPr>
            <w:tcW w:w="1701" w:type="dxa"/>
            <w:vAlign w:val="center"/>
          </w:tcPr>
          <w:p w14:paraId="05DAA36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Wogonoside</w:t>
            </w:r>
          </w:p>
        </w:tc>
        <w:tc>
          <w:tcPr>
            <w:tcW w:w="1559" w:type="dxa"/>
            <w:vAlign w:val="center"/>
          </w:tcPr>
          <w:p w14:paraId="2FBC9AD0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0.5244</w:t>
            </w:r>
          </w:p>
        </w:tc>
        <w:tc>
          <w:tcPr>
            <w:tcW w:w="3828" w:type="dxa"/>
            <w:noWrap/>
            <w:vAlign w:val="center"/>
          </w:tcPr>
          <w:p w14:paraId="718BEDF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−12.39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9.73</w:t>
            </w:r>
          </w:p>
        </w:tc>
      </w:tr>
      <w:tr w:rsidR="00A21C36" w:rsidRPr="00A21C36" w14:paraId="03CE4DD9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2491B98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B5</w:t>
            </w:r>
          </w:p>
        </w:tc>
        <w:tc>
          <w:tcPr>
            <w:tcW w:w="1701" w:type="dxa"/>
            <w:vAlign w:val="center"/>
          </w:tcPr>
          <w:p w14:paraId="05870F11" w14:textId="13EF6A7F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(</w:t>
            </w:r>
            <w:r w:rsidR="00F212DE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–</w:t>
            </w: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)-Epicatechin</w:t>
            </w:r>
          </w:p>
        </w:tc>
        <w:tc>
          <w:tcPr>
            <w:tcW w:w="1559" w:type="dxa"/>
            <w:vAlign w:val="center"/>
          </w:tcPr>
          <w:p w14:paraId="2959BA4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0.5061</w:t>
            </w:r>
          </w:p>
        </w:tc>
        <w:tc>
          <w:tcPr>
            <w:tcW w:w="3828" w:type="dxa"/>
            <w:noWrap/>
            <w:vAlign w:val="center"/>
          </w:tcPr>
          <w:p w14:paraId="724CB52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−14.18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9.08</w:t>
            </w:r>
          </w:p>
        </w:tc>
      </w:tr>
      <w:tr w:rsidR="00A21C36" w:rsidRPr="00A21C36" w14:paraId="6DCFFB80" w14:textId="77777777" w:rsidTr="005F2375">
        <w:trPr>
          <w:trHeight w:val="220"/>
        </w:trPr>
        <w:tc>
          <w:tcPr>
            <w:tcW w:w="1276" w:type="dxa"/>
            <w:noWrap/>
            <w:vAlign w:val="center"/>
          </w:tcPr>
          <w:p w14:paraId="1C8D259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A12</w:t>
            </w:r>
          </w:p>
        </w:tc>
        <w:tc>
          <w:tcPr>
            <w:tcW w:w="1701" w:type="dxa"/>
            <w:vAlign w:val="center"/>
          </w:tcPr>
          <w:p w14:paraId="6DE9098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Cynaroside</w:t>
            </w:r>
          </w:p>
        </w:tc>
        <w:tc>
          <w:tcPr>
            <w:tcW w:w="1559" w:type="dxa"/>
            <w:vAlign w:val="center"/>
          </w:tcPr>
          <w:p w14:paraId="20200FF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0.6430</w:t>
            </w:r>
          </w:p>
        </w:tc>
        <w:tc>
          <w:tcPr>
            <w:tcW w:w="3828" w:type="dxa"/>
            <w:noWrap/>
            <w:vAlign w:val="center"/>
          </w:tcPr>
          <w:p w14:paraId="09110A97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−14.70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6.09</w:t>
            </w:r>
          </w:p>
        </w:tc>
      </w:tr>
      <w:tr w:rsidR="00A21C36" w:rsidRPr="00A21C36" w14:paraId="496BC671" w14:textId="77777777" w:rsidTr="005F2375">
        <w:trPr>
          <w:trHeight w:val="220"/>
        </w:trPr>
        <w:tc>
          <w:tcPr>
            <w:tcW w:w="1276" w:type="dxa"/>
            <w:tcBorders>
              <w:bottom w:val="single" w:sz="4" w:space="0" w:color="auto"/>
            </w:tcBorders>
            <w:noWrap/>
            <w:vAlign w:val="center"/>
          </w:tcPr>
          <w:p w14:paraId="5EF043A0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:lang w:eastAsia="zh-CN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A10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425F412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:lang w:eastAsia="zh-CN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Gentiopicroside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5B52F11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:lang w:eastAsia="zh-CN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0.7431</w:t>
            </w:r>
          </w:p>
        </w:tc>
        <w:tc>
          <w:tcPr>
            <w:tcW w:w="3828" w:type="dxa"/>
            <w:tcBorders>
              <w:bottom w:val="single" w:sz="4" w:space="0" w:color="auto"/>
            </w:tcBorders>
            <w:noWrap/>
            <w:vAlign w:val="center"/>
          </w:tcPr>
          <w:p w14:paraId="17F9137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等线" w:hAnsi="Times New Roman" w:cs="Times New Roman"/>
                <w:kern w:val="0"/>
                <w:sz w:val="15"/>
                <w:szCs w:val="15"/>
                <w:lang w:eastAsia="zh-CN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−22.06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8.11</w:t>
            </w:r>
          </w:p>
        </w:tc>
      </w:tr>
    </w:tbl>
    <w:p w14:paraId="103FCD13" w14:textId="77777777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lang w:eastAsia="zh-CN"/>
          <w14:ligatures w14:val="none"/>
        </w:rPr>
      </w:pPr>
    </w:p>
    <w:p w14:paraId="54237BFA" w14:textId="12EC59DA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Table S3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</w:p>
    <w:p w14:paraId="70581815" w14:textId="77777777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Blocking effects of DHM on hERG currents.</w:t>
      </w:r>
    </w:p>
    <w:tbl>
      <w:tblPr>
        <w:tblStyle w:val="af5"/>
        <w:tblW w:w="0" w:type="auto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4496"/>
      </w:tblGrid>
      <w:tr w:rsidR="00A21C36" w:rsidRPr="00A21C36" w14:paraId="1F1A6414" w14:textId="77777777" w:rsidTr="0024747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843" w:type="dxa"/>
            <w:vAlign w:val="center"/>
          </w:tcPr>
          <w:p w14:paraId="7EA0DDE7" w14:textId="5CD5CD44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Concentration (μ</w:t>
            </w:r>
            <w:r w:rsidR="0024747F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mol∙L</w:t>
            </w:r>
            <w:r w:rsidR="0024747F" w:rsidRPr="0024747F">
              <w:rPr>
                <w:rFonts w:ascii="Times New Roman" w:eastAsia="等线" w:hAnsi="Times New Roman" w:cs="Times New Roman"/>
                <w:kern w:val="0"/>
                <w:sz w:val="15"/>
                <w:szCs w:val="15"/>
                <w:vertAlign w:val="superscript"/>
                <w14:ligatures w14:val="none"/>
              </w:rPr>
              <w:t>–1</w:t>
            </w: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)</w:t>
            </w:r>
          </w:p>
        </w:tc>
        <w:tc>
          <w:tcPr>
            <w:tcW w:w="4496" w:type="dxa"/>
            <w:vAlign w:val="center"/>
          </w:tcPr>
          <w:p w14:paraId="7C6DE5EB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Blocking rate (%, mean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SD)</w:t>
            </w:r>
          </w:p>
        </w:tc>
      </w:tr>
      <w:tr w:rsidR="00A21C36" w:rsidRPr="00A21C36" w14:paraId="50F0BC32" w14:textId="77777777" w:rsidTr="0024747F">
        <w:tc>
          <w:tcPr>
            <w:tcW w:w="1843" w:type="dxa"/>
            <w:tcBorders>
              <w:top w:val="single" w:sz="4" w:space="0" w:color="auto"/>
            </w:tcBorders>
            <w:vAlign w:val="center"/>
          </w:tcPr>
          <w:p w14:paraId="527E28E8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0.3</w:t>
            </w:r>
          </w:p>
        </w:tc>
        <w:tc>
          <w:tcPr>
            <w:tcW w:w="4496" w:type="dxa"/>
            <w:tcBorders>
              <w:top w:val="single" w:sz="4" w:space="0" w:color="auto"/>
            </w:tcBorders>
            <w:vAlign w:val="center"/>
          </w:tcPr>
          <w:p w14:paraId="4CF43DB9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1.04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0.72</w:t>
            </w:r>
          </w:p>
        </w:tc>
      </w:tr>
      <w:tr w:rsidR="00A21C36" w:rsidRPr="00A21C36" w14:paraId="1246E83E" w14:textId="77777777" w:rsidTr="0024747F">
        <w:tc>
          <w:tcPr>
            <w:tcW w:w="1843" w:type="dxa"/>
            <w:vAlign w:val="center"/>
          </w:tcPr>
          <w:p w14:paraId="3E70A9C6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1</w:t>
            </w:r>
          </w:p>
        </w:tc>
        <w:tc>
          <w:tcPr>
            <w:tcW w:w="4496" w:type="dxa"/>
            <w:vAlign w:val="center"/>
          </w:tcPr>
          <w:p w14:paraId="032DE215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−1.46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1.52</w:t>
            </w:r>
          </w:p>
        </w:tc>
      </w:tr>
      <w:tr w:rsidR="00A21C36" w:rsidRPr="00A21C36" w14:paraId="67F71E05" w14:textId="77777777" w:rsidTr="0024747F">
        <w:tc>
          <w:tcPr>
            <w:tcW w:w="1843" w:type="dxa"/>
            <w:vAlign w:val="center"/>
          </w:tcPr>
          <w:p w14:paraId="4548573C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3</w:t>
            </w:r>
          </w:p>
        </w:tc>
        <w:tc>
          <w:tcPr>
            <w:tcW w:w="4496" w:type="dxa"/>
            <w:vAlign w:val="center"/>
          </w:tcPr>
          <w:p w14:paraId="034778EF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−0.34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0.41</w:t>
            </w:r>
          </w:p>
        </w:tc>
      </w:tr>
      <w:tr w:rsidR="00A21C36" w:rsidRPr="00A21C36" w14:paraId="2AE19E11" w14:textId="77777777" w:rsidTr="0024747F">
        <w:tc>
          <w:tcPr>
            <w:tcW w:w="1843" w:type="dxa"/>
            <w:vAlign w:val="center"/>
          </w:tcPr>
          <w:p w14:paraId="0E47A4AD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10</w:t>
            </w:r>
          </w:p>
        </w:tc>
        <w:tc>
          <w:tcPr>
            <w:tcW w:w="4496" w:type="dxa"/>
            <w:vAlign w:val="center"/>
          </w:tcPr>
          <w:p w14:paraId="6D8538D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−1.53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0.88</w:t>
            </w:r>
          </w:p>
        </w:tc>
      </w:tr>
      <w:tr w:rsidR="00A21C36" w:rsidRPr="00A21C36" w14:paraId="0840B962" w14:textId="77777777" w:rsidTr="0024747F">
        <w:tc>
          <w:tcPr>
            <w:tcW w:w="1843" w:type="dxa"/>
            <w:tcBorders>
              <w:bottom w:val="single" w:sz="4" w:space="0" w:color="auto"/>
            </w:tcBorders>
            <w:vAlign w:val="center"/>
          </w:tcPr>
          <w:p w14:paraId="2C79BAA2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>30</w:t>
            </w:r>
          </w:p>
        </w:tc>
        <w:tc>
          <w:tcPr>
            <w:tcW w:w="4496" w:type="dxa"/>
            <w:tcBorders>
              <w:bottom w:val="single" w:sz="4" w:space="0" w:color="auto"/>
            </w:tcBorders>
            <w:vAlign w:val="center"/>
          </w:tcPr>
          <w:p w14:paraId="54F9A521" w14:textId="77777777" w:rsidR="00A21C36" w:rsidRPr="00A21C36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ind w:firstLine="112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1.07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5"/>
                  <w:szCs w:val="15"/>
                  <w14:ligatures w14:val="none"/>
                </w:rPr>
                <m:t>±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5"/>
                <w:szCs w:val="15"/>
                <w14:ligatures w14:val="none"/>
              </w:rPr>
              <w:t xml:space="preserve"> 1.14</w:t>
            </w:r>
          </w:p>
        </w:tc>
      </w:tr>
      <w:tr w:rsidR="00A21C36" w:rsidRPr="00A21C36" w14:paraId="51964C5B" w14:textId="77777777" w:rsidTr="005F2375">
        <w:trPr>
          <w:trHeight w:val="154"/>
        </w:trPr>
        <w:tc>
          <w:tcPr>
            <w:tcW w:w="6339" w:type="dxa"/>
            <w:gridSpan w:val="2"/>
            <w:tcBorders>
              <w:top w:val="single" w:sz="4" w:space="0" w:color="auto"/>
            </w:tcBorders>
          </w:tcPr>
          <w:p w14:paraId="3614A8A3" w14:textId="52C50604" w:rsidR="00A21C36" w:rsidRPr="0024747F" w:rsidRDefault="00A21C36" w:rsidP="00F212D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宋体" w:hAnsi="Times New Roman" w:cs="Times New Roman"/>
                <w:kern w:val="0"/>
                <w:sz w:val="15"/>
                <w:szCs w:val="15"/>
                <w14:ligatures w14:val="none"/>
              </w:rPr>
            </w:pPr>
            <w:r w:rsidRPr="00A21C36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>IC</w:t>
            </w:r>
            <w:r w:rsidRPr="00A21C36">
              <w:rPr>
                <w:rFonts w:ascii="Times New Roman" w:eastAsia="等线" w:hAnsi="Times New Roman" w:cs="Times New Roman"/>
                <w:kern w:val="0"/>
                <w:sz w:val="18"/>
                <w:szCs w:val="18"/>
                <w:vertAlign w:val="subscript"/>
                <w14:ligatures w14:val="none"/>
              </w:rPr>
              <w:t>50</w:t>
            </w:r>
            <w:r w:rsidRPr="00A21C36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 xml:space="preserve"> </w:t>
            </w:r>
            <m:oMath>
              <m:r>
                <m:rPr>
                  <m:nor/>
                </m:rPr>
                <w:rPr>
                  <w:rFonts w:ascii="Times New Roman" w:eastAsia="宋体" w:hAnsi="Times New Roman" w:cs="Times New Roman"/>
                  <w:kern w:val="0"/>
                  <w:sz w:val="18"/>
                  <w:szCs w:val="18"/>
                  <w14:ligatures w14:val="none"/>
                </w:rPr>
                <m:t>&gt;</m:t>
              </m:r>
            </m:oMath>
            <w:r w:rsidRPr="00A21C36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 xml:space="preserve"> 30 </w:t>
            </w:r>
            <w:r w:rsidRPr="0024747F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>μ</w:t>
            </w:r>
            <w:r w:rsidR="0024747F" w:rsidRPr="0024747F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>mol∙L</w:t>
            </w:r>
            <w:r w:rsidR="0024747F" w:rsidRPr="0024747F">
              <w:rPr>
                <w:rFonts w:ascii="Times New Roman" w:eastAsia="等线" w:hAnsi="Times New Roman" w:cs="Times New Roman"/>
                <w:kern w:val="0"/>
                <w:sz w:val="18"/>
                <w:szCs w:val="18"/>
                <w:vertAlign w:val="superscript"/>
                <w14:ligatures w14:val="none"/>
              </w:rPr>
              <w:t>–1</w:t>
            </w:r>
            <w:r w:rsidR="0024747F">
              <w:rPr>
                <w:rFonts w:ascii="Times New Roman" w:eastAsia="等线" w:hAnsi="Times New Roman" w:cs="Times New Roman"/>
                <w:kern w:val="0"/>
                <w:sz w:val="18"/>
                <w:szCs w:val="18"/>
                <w14:ligatures w14:val="none"/>
              </w:rPr>
              <w:t>.</w:t>
            </w:r>
          </w:p>
        </w:tc>
      </w:tr>
    </w:tbl>
    <w:p w14:paraId="0DFC226B" w14:textId="58ED2FF7" w:rsidR="00A21C36" w:rsidRPr="00A21C36" w:rsidRDefault="00A21C36" w:rsidP="00A21C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lastRenderedPageBreak/>
        <w:drawing>
          <wp:inline distT="0" distB="0" distL="0" distR="0" wp14:anchorId="534BB3B8" wp14:editId="15FCD78C">
            <wp:extent cx="6301357" cy="2425700"/>
            <wp:effectExtent l="0" t="0" r="4445" b="0"/>
            <wp:docPr id="1479770649" name="图片 16" descr="图表, 直方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770649" name="图片 16" descr="图表, 直方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537" cy="242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110CE" w14:textId="53AB59A9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F212DE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S1</w:t>
      </w:r>
      <w:r w:rsidR="00F212DE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Development and validation of a dual-luciferase reporter assay for screening TGF-β/SMAD signaling pathway inhibitors. (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a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Cell viability of A549 cells. (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b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) Ratio of firefly luminescence to </w:t>
      </w:r>
      <w:r w:rsidRPr="00A21C36">
        <w:rPr>
          <w:rFonts w:ascii="Times New Roman" w:eastAsia="等线" w:hAnsi="Times New Roman" w:cs="Times New Roman"/>
          <w:i/>
          <w:kern w:val="0"/>
          <w:sz w:val="18"/>
          <w:szCs w:val="18"/>
          <w14:ligatures w14:val="none"/>
        </w:rPr>
        <w:t>Renilla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luminescence of A549 cells. Blank</w:t>
      </w:r>
      <w:r w:rsidR="00957F04">
        <w:rPr>
          <w:rFonts w:ascii="Times New Roman" w:eastAsia="等线" w:hAnsi="Times New Roman" w:cs="Times New Roman" w:hint="eastAsia"/>
          <w:kern w:val="0"/>
          <w:sz w:val="18"/>
          <w:szCs w:val="18"/>
          <w:lang w:eastAsia="zh-CN"/>
          <w14:ligatures w14:val="none"/>
        </w:rPr>
        <w:t>: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A549 cells without plasmids; </w:t>
      </w:r>
      <w:r w:rsidR="00957F04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contr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ol</w:t>
      </w:r>
      <w:r w:rsidR="00957F04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: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A549 cells transfected with plasmids; TGF-β1</w:t>
      </w:r>
      <w:r w:rsidR="00957F04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: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transfected A549 cells stimulated with TGF-β1; 1 μ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="000601BD"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SB431542 + TGF-β1</w:t>
      </w:r>
      <w:r w:rsidR="00957F04">
        <w:rPr>
          <w:rFonts w:ascii="Times New Roman" w:eastAsia="等线" w:hAnsi="Times New Roman" w:cs="Times New Roman" w:hint="eastAsia"/>
          <w:kern w:val="0"/>
          <w:sz w:val="18"/>
          <w:szCs w:val="18"/>
          <w:lang w:eastAsia="zh-CN"/>
          <w14:ligatures w14:val="none"/>
        </w:rPr>
        <w:t>: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transfected A549 cells treated with 1 μ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="000601BD"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SB431542 and stimulated with TGF-β1. (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Inhibitory effect of SB431542 on TGF-β/SMAD signaling pathway, IC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:vertAlign w:val="subscript"/>
          <w14:ligatures w14:val="none"/>
        </w:rPr>
        <w:t>50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= </w:t>
      </w:r>
      <w:r w:rsidR="00F212DE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(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1.69 ± 0.05</w:t>
      </w:r>
      <w:r w:rsidR="00F212DE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μ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="000601BD"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. Data are shown as mean ± SD (</w:t>
      </w:r>
      <w:r w:rsidRPr="00F212DE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= 3).</w:t>
      </w:r>
    </w:p>
    <w:p w14:paraId="1010D3DC" w14:textId="77777777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p w14:paraId="35AE6F93" w14:textId="467A9355" w:rsidR="00A21C36" w:rsidRPr="00A21C36" w:rsidRDefault="00A21C36" w:rsidP="00A21C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drawing>
          <wp:inline distT="0" distB="0" distL="0" distR="0" wp14:anchorId="1A3A885E" wp14:editId="29F4AC0E">
            <wp:extent cx="6751798" cy="4362450"/>
            <wp:effectExtent l="0" t="0" r="0" b="0"/>
            <wp:docPr id="1617211772" name="图片 15" descr="图表, 图示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211772" name="图片 15" descr="图表, 图示, 折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9009" cy="4367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B31D7" w14:textId="3007687E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F212DE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S2</w:t>
      </w:r>
      <w:r w:rsidR="00F212DE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Effects of DHM on cell viability of A549, MRC-5, Vero, and HepG2 cells. (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a</w:t>
      </w:r>
      <w:r w:rsidR="00F212DE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, 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b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Cell viability of A549 and MRC-5 cells treated with DHM for 48 h. (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c</w:t>
      </w:r>
      <w:r w:rsidR="00F212DE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–</w:t>
      </w:r>
      <w:r w:rsidR="00F212DE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f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) Cell viability of A549, MRC-5, Vero, and HepG2 cells treated with DHM for 24 h. Data are shown as mean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±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SD (</w:t>
      </w:r>
      <w:r w:rsidRPr="00F212DE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3).</w:t>
      </w:r>
    </w:p>
    <w:p w14:paraId="62B40455" w14:textId="3D1BA7C4" w:rsidR="00A21C36" w:rsidRPr="00A21C36" w:rsidRDefault="00A21C36" w:rsidP="00060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lastRenderedPageBreak/>
        <w:drawing>
          <wp:inline distT="0" distB="0" distL="0" distR="0" wp14:anchorId="528E2E8D" wp14:editId="374189C0">
            <wp:extent cx="6254750" cy="4970662"/>
            <wp:effectExtent l="0" t="0" r="0" b="1905"/>
            <wp:docPr id="53138917" name="图片 14" descr="图片包含 日历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38917" name="图片 14" descr="图片包含 日历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6976" cy="498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71B34" w14:textId="2ED2AF11" w:rsidR="00A21C36" w:rsidRDefault="00A21C36" w:rsidP="000601BD">
      <w:pPr>
        <w:autoSpaceDE w:val="0"/>
        <w:autoSpaceDN w:val="0"/>
        <w:adjustRightInd w:val="0"/>
        <w:snapToGri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. 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S3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Effect of DHM on TGF-β1-induced cell morphology during EMT in A549 cells.</w:t>
      </w:r>
    </w:p>
    <w:p w14:paraId="381D6436" w14:textId="77777777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p w14:paraId="165B6893" w14:textId="6392EAC7" w:rsidR="00A21C36" w:rsidRPr="000601BD" w:rsidRDefault="00A21C36" w:rsidP="000601B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:lang w:eastAsia="zh-CN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drawing>
          <wp:inline distT="0" distB="0" distL="0" distR="0" wp14:anchorId="339CBE1A" wp14:editId="361D80D2">
            <wp:extent cx="6666678" cy="3689350"/>
            <wp:effectExtent l="0" t="0" r="1270" b="6350"/>
            <wp:docPr id="480063784" name="图片 13" descr="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063784" name="图片 13" descr="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308" cy="370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0CF4A" w14:textId="3FC27D29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. 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S4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DHM reduced lung-to-body </w:t>
      </w:r>
      <w:r w:rsidR="009704AC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weight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ratio and inflammatory cell infiltration in BLM-induced pulmonary fibrosis mice.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a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Lung weight to body weight ratio of mice.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b–g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) Cell counting results of white blood cell (WBC), lymphocyte (LYM), monocyte (MON), neutrality granulocyte (NEU), eosinophil (EOS), and basophil (BAS). Data are shown as mean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±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SD (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8).</w:t>
      </w:r>
    </w:p>
    <w:p w14:paraId="387463D2" w14:textId="77777777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p w14:paraId="1A8180C5" w14:textId="2EB4BF6D" w:rsidR="00A21C36" w:rsidRPr="00A21C36" w:rsidRDefault="00A21C36" w:rsidP="00A21C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lastRenderedPageBreak/>
        <w:drawing>
          <wp:inline distT="0" distB="0" distL="0" distR="0" wp14:anchorId="69605B69" wp14:editId="3DF33368">
            <wp:extent cx="5867400" cy="7030281"/>
            <wp:effectExtent l="0" t="0" r="0" b="0"/>
            <wp:docPr id="708453763" name="图片 11" descr="图片包含 图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453763" name="图片 11" descr="图片包含 图示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809" cy="704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5B658" w14:textId="2449E43F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</w:t>
      </w:r>
      <w:r w:rsidR="007B1280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5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Comparison of </w:t>
      </w:r>
      <w:r w:rsidRPr="00A21C36">
        <w:rPr>
          <w:rFonts w:ascii="Times New Roman" w:eastAsia="等线" w:hAnsi="Times New Roman" w:cs="Times New Roman"/>
          <w:i/>
          <w:kern w:val="0"/>
          <w:sz w:val="18"/>
          <w:szCs w:val="18"/>
          <w14:ligatures w14:val="none"/>
        </w:rPr>
        <w:t>in vivo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safety between DHM and PFD in ICR mice. (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a, b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Body weight change of mice 24 h or 7 d after treated with DHM or PFD.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Survival curves of mice.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d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Number of alive and dead mice in different groups.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e–l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Levels of alanine aminotransferase (ALT), aspartate aminotransferase (AST), creatinine (Cre), and urea nitrogen (Urea) in serum of mice from different groups. Data are shown as mean ± SD (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= 5–10).</w:t>
      </w:r>
    </w:p>
    <w:p w14:paraId="6334B530" w14:textId="48AD0D2B" w:rsidR="004835A6" w:rsidRPr="00A21C36" w:rsidRDefault="005B1CFA" w:rsidP="004835A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>
        <w:rPr>
          <w:noProof/>
        </w:rPr>
        <w:drawing>
          <wp:inline distT="0" distB="0" distL="0" distR="0" wp14:anchorId="0713E1F8" wp14:editId="7B5E1D5A">
            <wp:extent cx="6477000" cy="16478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7DD48" w14:textId="77777777" w:rsidR="004835A6" w:rsidRPr="000601BD" w:rsidRDefault="004835A6" w:rsidP="004835A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lastRenderedPageBreak/>
        <w:t>Fig</w:t>
      </w:r>
      <w:r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</w:t>
      </w:r>
      <w:r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6.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Effects of SB431542 on ALK5 kinase activity. (a) Inhibition of SB431542 on ALK5 kinase activity in different concentrations of ATP (2.5, 5, and 10 μ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). (b) IC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:vertAlign w:val="subscript"/>
          <w14:ligatures w14:val="none"/>
        </w:rPr>
        <w:t>50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values of SB431542 on ALK5 kinase activity in different concentrations of ATP (2.5, 5, and 10 μ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). (c) IC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:vertAlign w:val="subscript"/>
          <w14:ligatures w14:val="none"/>
        </w:rPr>
        <w:t>50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values of DHM on ALK5 kinase activity in different concentrations of ATP (2.5, 5, and 10 μ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mol∙L</w:t>
      </w:r>
      <w:r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).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Data are shown as mean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±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SD (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3).</w:t>
      </w:r>
    </w:p>
    <w:p w14:paraId="41C5FAD6" w14:textId="77777777" w:rsidR="004835A6" w:rsidRDefault="004835A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p w14:paraId="03DA46C9" w14:textId="77777777" w:rsidR="007B1280" w:rsidRPr="00A21C36" w:rsidRDefault="007B1280" w:rsidP="007B128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drawing>
          <wp:inline distT="0" distB="0" distL="0" distR="0" wp14:anchorId="3B64B440" wp14:editId="2163BCE4">
            <wp:extent cx="6616700" cy="1681065"/>
            <wp:effectExtent l="0" t="0" r="0" b="0"/>
            <wp:docPr id="413988300" name="图片 12" descr="图片包含 QR 代码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988300" name="图片 12" descr="图片包含 QR 代码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7722" cy="16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A43B7" w14:textId="55134FFC" w:rsidR="007B1280" w:rsidRDefault="007B1280" w:rsidP="007B1280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</w:t>
      </w:r>
      <w:r w:rsidR="004835A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7</w:t>
      </w:r>
      <w:r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Bleomycin (BLM, 5 mg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∙kg</w:t>
      </w:r>
      <w:r w:rsidRPr="000601BD">
        <w:rPr>
          <w:rFonts w:ascii="Times New Roman" w:eastAsia="等线" w:hAnsi="Times New Roman" w:cs="Times New Roman"/>
          <w:kern w:val="0"/>
          <w:sz w:val="18"/>
          <w:szCs w:val="18"/>
          <w:vertAlign w:val="superscript"/>
          <w14:ligatures w14:val="none"/>
        </w:rPr>
        <w:t>–1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administration induced pulmonary fibrosis in C57BL/6J mice. (</w:t>
      </w:r>
      <w:r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a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) Pathological features of lung tissues from mice in different groups based on HE staining (×20, 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w:rPr>
            <w:rFonts w:ascii="Cambria Math" w:eastAsia="宋体" w:hAnsi="Cambria Math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3). (B) Pathological features of lung tissues from mice in different groups based on Masson’s staining (×20, 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3). (C) Ashcroft’s fibrosis score of lung tissues from mice in different groups based on Masson’s staining. Data are shown as median with interquartile range (</w:t>
      </w:r>
      <w:r w:rsidRPr="000601BD">
        <w:rPr>
          <w:rFonts w:ascii="Times New Roman" w:eastAsia="等线" w:hAnsi="Times New Roman" w:cs="Times New Roman"/>
          <w:i/>
          <w:iCs/>
          <w:kern w:val="0"/>
          <w:sz w:val="18"/>
          <w:szCs w:val="18"/>
          <w14:ligatures w14:val="none"/>
        </w:rPr>
        <w:t>n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</w:t>
      </w:r>
      <m:oMath>
        <m:r>
          <m:rPr>
            <m:nor/>
          </m:rPr>
          <w:rPr>
            <w:rFonts w:ascii="Times New Roman" w:eastAsia="宋体" w:hAnsi="Times New Roman" w:cs="Times New Roman"/>
            <w:kern w:val="0"/>
            <w:sz w:val="18"/>
            <w:szCs w:val="18"/>
            <w14:ligatures w14:val="none"/>
          </w:rPr>
          <m:t>=</m:t>
        </m:r>
      </m:oMath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3).</w:t>
      </w:r>
    </w:p>
    <w:p w14:paraId="675D5D89" w14:textId="77777777" w:rsidR="007B1280" w:rsidRPr="00A21C36" w:rsidRDefault="007B1280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p w14:paraId="28A13153" w14:textId="76F6D6AF" w:rsidR="00A21C36" w:rsidRPr="00A21C36" w:rsidRDefault="00A21C36" w:rsidP="00A21C3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等线" w:hAnsi="Times New Roman" w:cs="Times New Roman"/>
          <w:kern w:val="0"/>
          <w14:ligatures w14:val="none"/>
        </w:rPr>
      </w:pPr>
      <w:r w:rsidRPr="00A21C36">
        <w:rPr>
          <w:rFonts w:ascii="Times New Roman" w:eastAsia="等线" w:hAnsi="Times New Roman" w:cs="Times New Roman"/>
          <w:noProof/>
          <w:kern w:val="0"/>
          <w14:ligatures w14:val="none"/>
        </w:rPr>
        <w:drawing>
          <wp:inline distT="0" distB="0" distL="0" distR="0" wp14:anchorId="309FB432" wp14:editId="3BF9EDC9">
            <wp:extent cx="6714584" cy="5003800"/>
            <wp:effectExtent l="0" t="0" r="0" b="6350"/>
            <wp:docPr id="1672083800" name="图片 10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83800" name="图片 10" descr="图表, 折线图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858" cy="50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E1199" w14:textId="62380850" w:rsid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Fig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 xml:space="preserve"> S</w:t>
      </w:r>
      <w:r w:rsidR="004835A6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8</w:t>
      </w:r>
      <w:r w:rsidR="000601BD">
        <w:rPr>
          <w:rFonts w:ascii="Times New Roman" w:eastAsia="等线" w:hAnsi="Times New Roman" w:cs="Times New Roman"/>
          <w:b/>
          <w:kern w:val="0"/>
          <w:sz w:val="18"/>
          <w:szCs w:val="18"/>
          <w14:ligatures w14:val="none"/>
        </w:rPr>
        <w:t>.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Binding between DHM and ALK5 intracellular region detected by MST assay using SB431542 as the positive control. 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(a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–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c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) The affinity between SB431542 and ALK5 intracellular region, three replications. (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d</w:t>
      </w:r>
      <w:r w:rsidR="000601BD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–</w:t>
      </w:r>
      <w:r w:rsidR="000601BD"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>f)</w:t>
      </w:r>
      <w:r w:rsidRPr="00A21C36"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  <w:t xml:space="preserve"> The affinity between DHM and ALK5 intracellular region, three replications.</w:t>
      </w:r>
    </w:p>
    <w:p w14:paraId="2AB3B577" w14:textId="77777777" w:rsidR="00A21C36" w:rsidRPr="00A21C36" w:rsidRDefault="00A21C36" w:rsidP="00A21C36">
      <w:pPr>
        <w:autoSpaceDE w:val="0"/>
        <w:autoSpaceDN w:val="0"/>
        <w:adjustRightInd w:val="0"/>
        <w:snapToGrid w:val="0"/>
        <w:spacing w:after="0" w:line="240" w:lineRule="auto"/>
        <w:jc w:val="both"/>
        <w:rPr>
          <w:rFonts w:ascii="Times New Roman" w:eastAsia="等线" w:hAnsi="Times New Roman" w:cs="Times New Roman"/>
          <w:kern w:val="0"/>
          <w:sz w:val="18"/>
          <w:szCs w:val="18"/>
          <w14:ligatures w14:val="none"/>
        </w:rPr>
      </w:pPr>
    </w:p>
    <w:sectPr w:rsidR="00A21C36" w:rsidRPr="00A21C36" w:rsidSect="00A82AD3">
      <w:headerReference w:type="default" r:id="rId14"/>
      <w:headerReference w:type="first" r:id="rId15"/>
      <w:footerReference w:type="first" r:id="rId16"/>
      <w:pgSz w:w="11906" w:h="16838"/>
      <w:pgMar w:top="720" w:right="720" w:bottom="720" w:left="720" w:header="283" w:footer="510" w:gutter="0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A82DC2" w14:textId="77777777" w:rsidR="00B865EA" w:rsidRDefault="00B865EA">
      <w:pPr>
        <w:spacing w:line="240" w:lineRule="auto"/>
      </w:pPr>
      <w:r>
        <w:separator/>
      </w:r>
    </w:p>
  </w:endnote>
  <w:endnote w:type="continuationSeparator" w:id="0">
    <w:p w14:paraId="0D334D8C" w14:textId="77777777" w:rsidR="00B865EA" w:rsidRDefault="00B865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63271D" w14:textId="12FBE809" w:rsidR="00A82AD3" w:rsidRPr="00A82AD3" w:rsidRDefault="00A82AD3" w:rsidP="00A82AD3">
    <w:pPr>
      <w:tabs>
        <w:tab w:val="center" w:pos="4153"/>
        <w:tab w:val="right" w:pos="8306"/>
      </w:tabs>
      <w:snapToGrid w:val="0"/>
      <w:spacing w:after="0" w:line="240" w:lineRule="auto"/>
      <w:rPr>
        <w:rFonts w:ascii="Times New Roman" w:eastAsia="宋体" w:hAnsi="Times New Roman" w:cs="Times New Roman"/>
        <w:kern w:val="0"/>
        <w:sz w:val="18"/>
        <w:szCs w:val="18"/>
        <w:lang w:eastAsia="zh-CN"/>
        <w14:ligatures w14:val="none"/>
      </w:rPr>
    </w:pPr>
    <w:r w:rsidRPr="00A82AD3">
      <w:rPr>
        <w:rFonts w:ascii="Times New Roman" w:eastAsia="宋体" w:hAnsi="Times New Roman" w:cs="Times New Roman"/>
        <w:kern w:val="0"/>
        <w:sz w:val="18"/>
        <w:szCs w:val="18"/>
        <w14:ligatures w14:val="none"/>
      </w:rPr>
      <w:t>2095-8099/© 202</w:t>
    </w:r>
    <w:r w:rsidRPr="00A82AD3">
      <w:rPr>
        <w:rFonts w:ascii="Times New Roman" w:eastAsia="宋体" w:hAnsi="Times New Roman" w:cs="Times New Roman" w:hint="eastAsia"/>
        <w:kern w:val="0"/>
        <w:sz w:val="18"/>
        <w:szCs w:val="18"/>
        <w:lang w:eastAsia="zh-CN"/>
        <w14:ligatures w14:val="none"/>
      </w:rPr>
      <w:t>5</w:t>
    </w:r>
    <w:r w:rsidRPr="00A82AD3">
      <w:rPr>
        <w:rFonts w:ascii="Times New Roman" w:eastAsia="宋体" w:hAnsi="Times New Roman" w:cs="Times New Roman"/>
        <w:kern w:val="0"/>
        <w:sz w:val="18"/>
        <w:szCs w:val="18"/>
        <w14:ligatures w14:val="none"/>
      </w:rPr>
      <w:t xml:space="preserve"> THE AUTHORS. Published by Elsevier LTD on behalf of Chinese Academy of Engineering and Higher Education Press Limited Company. This is an open access article under the CC BY-NC-ND license (http://creativecommons.org/licenses/by-nc-nd/4.0/).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91A9D8" w14:textId="77777777" w:rsidR="00B865EA" w:rsidRDefault="00B865EA">
      <w:pPr>
        <w:spacing w:after="0"/>
      </w:pPr>
      <w:r>
        <w:separator/>
      </w:r>
    </w:p>
  </w:footnote>
  <w:footnote w:type="continuationSeparator" w:id="0">
    <w:p w14:paraId="4EF67F8A" w14:textId="77777777" w:rsidR="00B865EA" w:rsidRDefault="00B865E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B342C4" w14:textId="27DD68C3" w:rsidR="00A82AD3" w:rsidRPr="00A82AD3" w:rsidRDefault="00A21C36" w:rsidP="00A82AD3">
    <w:pPr>
      <w:pBdr>
        <w:bottom w:val="none" w:sz="0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  <w:rPr>
        <w:rFonts w:ascii="Times New Roman" w:eastAsia="宋体" w:hAnsi="Times New Roman" w:cs="Times New Roman"/>
        <w:bCs/>
        <w:i/>
        <w:iCs/>
        <w:kern w:val="0"/>
        <w:sz w:val="18"/>
        <w:szCs w:val="18"/>
        <w:lang w:eastAsia="zh-CN"/>
        <w14:ligatures w14:val="none"/>
      </w:rPr>
    </w:pPr>
    <w:bookmarkStart w:id="1" w:name="_Hlk208958453"/>
    <w:bookmarkStart w:id="2" w:name="_Hlk208958454"/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L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. </w:t>
    </w:r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Dong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, </w:t>
    </w:r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W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. </w:t>
    </w:r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Dong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, </w:t>
    </w:r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Y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. </w:t>
    </w:r>
    <w:r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Ren</w:t>
    </w:r>
    <w:r w:rsidR="00A82AD3" w:rsidRPr="00A82AD3"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,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 xml:space="preserve"> et</w:t>
    </w:r>
    <w:r w:rsidR="00A82AD3" w:rsidRPr="00A82AD3"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 xml:space="preserve"> 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>al</w:t>
    </w:r>
    <w:r w:rsidR="00A82AD3" w:rsidRPr="00A82AD3"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.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>/Engineering x(202</w:t>
    </w:r>
    <w:r w:rsidR="00A82AD3" w:rsidRPr="00A82AD3">
      <w:rPr>
        <w:rFonts w:ascii="Times New Roman" w:eastAsia="宋体" w:hAnsi="Times New Roman" w:cs="Times New Roman" w:hint="eastAsia"/>
        <w:bCs/>
        <w:i/>
        <w:iCs/>
        <w:kern w:val="0"/>
        <w:sz w:val="18"/>
        <w:szCs w:val="18"/>
        <w:lang w:eastAsia="zh-CN"/>
        <w14:ligatures w14:val="none"/>
      </w:rPr>
      <w:t>5</w:t>
    </w:r>
    <w:r w:rsidR="00A82AD3" w:rsidRPr="00A82AD3">
      <w:rPr>
        <w:rFonts w:ascii="Times New Roman" w:eastAsia="宋体" w:hAnsi="Times New Roman" w:cs="Times New Roman"/>
        <w:bCs/>
        <w:i/>
        <w:iCs/>
        <w:kern w:val="0"/>
        <w:sz w:val="18"/>
        <w:szCs w:val="18"/>
        <w14:ligatures w14:val="none"/>
      </w:rPr>
      <w:t>)</w:t>
    </w:r>
    <w:bookmarkEnd w:id="1"/>
    <w:bookmarkEnd w:id="2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662BEB" w14:textId="3ABA278B" w:rsidR="00A82AD3" w:rsidRPr="00A82AD3" w:rsidRDefault="00A82AD3" w:rsidP="00A82AD3">
    <w:pPr>
      <w:pBdr>
        <w:bottom w:val="none" w:sz="0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  <w:rPr>
        <w:rFonts w:ascii="Times New Roman" w:eastAsia="宋体" w:hAnsi="Times New Roman" w:cs="Times New Roman"/>
        <w:kern w:val="0"/>
        <w:sz w:val="18"/>
        <w:szCs w:val="18"/>
        <w:lang w:eastAsia="zh-CN"/>
        <w14:ligatures w14:val="none"/>
      </w:rPr>
    </w:pPr>
    <w:r w:rsidRPr="00A82AD3">
      <w:rPr>
        <w:rFonts w:ascii="Times New Roman" w:eastAsia="宋体" w:hAnsi="Times New Roman" w:cs="Times New Roman"/>
        <w:kern w:val="0"/>
        <w:sz w:val="18"/>
        <w:szCs w:val="18"/>
        <w14:ligatures w14:val="none"/>
      </w:rPr>
      <w:t>Engineering X(202</w:t>
    </w:r>
    <w:r w:rsidRPr="00A82AD3">
      <w:rPr>
        <w:rFonts w:ascii="Times New Roman" w:eastAsia="宋体" w:hAnsi="Times New Roman" w:cs="Times New Roman" w:hint="eastAsia"/>
        <w:kern w:val="0"/>
        <w:sz w:val="18"/>
        <w:szCs w:val="18"/>
        <w:lang w:eastAsia="zh-CN"/>
        <w14:ligatures w14:val="none"/>
      </w:rPr>
      <w:t>5</w:t>
    </w:r>
    <w:r w:rsidRPr="00A82AD3">
      <w:rPr>
        <w:rFonts w:ascii="Times New Roman" w:eastAsia="宋体" w:hAnsi="Times New Roman" w:cs="Times New Roman"/>
        <w:kern w:val="0"/>
        <w:sz w:val="18"/>
        <w:szCs w:val="18"/>
        <w14:ligatures w14:val="none"/>
      </w:rPr>
      <w:t>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2040"/>
    <w:rsid w:val="000601BD"/>
    <w:rsid w:val="000861E3"/>
    <w:rsid w:val="000871C8"/>
    <w:rsid w:val="0017061D"/>
    <w:rsid w:val="001E14C1"/>
    <w:rsid w:val="001F1254"/>
    <w:rsid w:val="00204A8E"/>
    <w:rsid w:val="002177EF"/>
    <w:rsid w:val="0024747F"/>
    <w:rsid w:val="00252C45"/>
    <w:rsid w:val="002842BC"/>
    <w:rsid w:val="0032151F"/>
    <w:rsid w:val="003B56C5"/>
    <w:rsid w:val="00451193"/>
    <w:rsid w:val="00480F97"/>
    <w:rsid w:val="004835A6"/>
    <w:rsid w:val="00491430"/>
    <w:rsid w:val="004A33F3"/>
    <w:rsid w:val="004D7CCE"/>
    <w:rsid w:val="00531062"/>
    <w:rsid w:val="00533B1E"/>
    <w:rsid w:val="005A3BD9"/>
    <w:rsid w:val="005B1CFA"/>
    <w:rsid w:val="005D16B4"/>
    <w:rsid w:val="00625833"/>
    <w:rsid w:val="00662125"/>
    <w:rsid w:val="00662BDF"/>
    <w:rsid w:val="00672040"/>
    <w:rsid w:val="006D34D6"/>
    <w:rsid w:val="007311D6"/>
    <w:rsid w:val="007A2006"/>
    <w:rsid w:val="007B1280"/>
    <w:rsid w:val="007D32E8"/>
    <w:rsid w:val="00801FF6"/>
    <w:rsid w:val="00867021"/>
    <w:rsid w:val="00885E06"/>
    <w:rsid w:val="008A1CDC"/>
    <w:rsid w:val="00957657"/>
    <w:rsid w:val="00957F04"/>
    <w:rsid w:val="009704AC"/>
    <w:rsid w:val="009944EC"/>
    <w:rsid w:val="00A21C36"/>
    <w:rsid w:val="00A60C2A"/>
    <w:rsid w:val="00A668AD"/>
    <w:rsid w:val="00A82AD3"/>
    <w:rsid w:val="00AC334F"/>
    <w:rsid w:val="00B865EA"/>
    <w:rsid w:val="00C84367"/>
    <w:rsid w:val="00C85B1F"/>
    <w:rsid w:val="00C87ED3"/>
    <w:rsid w:val="00CB38C3"/>
    <w:rsid w:val="00D25764"/>
    <w:rsid w:val="00D40CE9"/>
    <w:rsid w:val="00D50ADF"/>
    <w:rsid w:val="00D57105"/>
    <w:rsid w:val="00D94FF4"/>
    <w:rsid w:val="00DA3A6F"/>
    <w:rsid w:val="00DD5BB5"/>
    <w:rsid w:val="00E2483E"/>
    <w:rsid w:val="00F1613D"/>
    <w:rsid w:val="00F212DE"/>
    <w:rsid w:val="00F23803"/>
    <w:rsid w:val="00F57F48"/>
    <w:rsid w:val="00F727FB"/>
    <w:rsid w:val="00F90DC7"/>
    <w:rsid w:val="00F93F97"/>
    <w:rsid w:val="45412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C022BA6"/>
  <w15:docId w15:val="{4FF6C4AA-0109-45F5-924E-9F39D3333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78" w:lineRule="auto"/>
    </w:pPr>
    <w:rPr>
      <w:kern w:val="2"/>
      <w:sz w:val="24"/>
      <w:szCs w:val="24"/>
      <w:lang w:eastAsia="en-US"/>
      <w14:ligatures w14:val="standardContextual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pPr>
      <w:spacing w:line="240" w:lineRule="auto"/>
    </w:pPr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paragraph" w:styleId="a7">
    <w:name w:val="Subtitle"/>
    <w:basedOn w:val="a"/>
    <w:next w:val="a"/>
    <w:link w:val="a8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9">
    <w:name w:val="Title"/>
    <w:basedOn w:val="a"/>
    <w:next w:val="a"/>
    <w:link w:val="aa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b">
    <w:name w:val="annotation subject"/>
    <w:basedOn w:val="a3"/>
    <w:next w:val="a3"/>
    <w:link w:val="ac"/>
    <w:uiPriority w:val="99"/>
    <w:semiHidden/>
    <w:unhideWhenUsed/>
    <w:qFormat/>
    <w:rPr>
      <w:b/>
      <w:bCs/>
    </w:rPr>
  </w:style>
  <w:style w:type="character" w:styleId="ad">
    <w:name w:val="annotation reference"/>
    <w:basedOn w:val="a0"/>
    <w:uiPriority w:val="99"/>
    <w:semiHidden/>
    <w:unhideWhenUsed/>
    <w:rPr>
      <w:sz w:val="16"/>
      <w:szCs w:val="16"/>
    </w:r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标题 3 字符"/>
    <w:basedOn w:val="a0"/>
    <w:link w:val="3"/>
    <w:uiPriority w:val="9"/>
    <w:semiHidden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标题 4 字符"/>
    <w:basedOn w:val="a0"/>
    <w:link w:val="4"/>
    <w:uiPriority w:val="9"/>
    <w:semiHidden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标题 5 字符"/>
    <w:basedOn w:val="a0"/>
    <w:link w:val="5"/>
    <w:uiPriority w:val="9"/>
    <w:semiHidden/>
    <w:rPr>
      <w:rFonts w:eastAsiaTheme="majorEastAsia" w:cstheme="majorBidi"/>
      <w:color w:val="2F5496" w:themeColor="accent1" w:themeShade="BF"/>
    </w:rPr>
  </w:style>
  <w:style w:type="character" w:customStyle="1" w:styleId="60">
    <w:name w:val="标题 6 字符"/>
    <w:basedOn w:val="a0"/>
    <w:link w:val="6"/>
    <w:uiPriority w:val="9"/>
    <w:semiHidden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标题 7 字符"/>
    <w:basedOn w:val="a0"/>
    <w:link w:val="7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eastAsiaTheme="majorEastAsia" w:cstheme="majorBidi"/>
      <w:i/>
      <w:iCs/>
      <w:color w:val="262626" w:themeColor="text1" w:themeTint="D9"/>
    </w:rPr>
  </w:style>
  <w:style w:type="character" w:customStyle="1" w:styleId="90">
    <w:name w:val="标题 9 字符"/>
    <w:basedOn w:val="a0"/>
    <w:link w:val="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aa">
    <w:name w:val="标题 字符"/>
    <w:basedOn w:val="a0"/>
    <w:link w:val="a9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e">
    <w:name w:val="Quote"/>
    <w:basedOn w:val="a"/>
    <w:next w:val="a"/>
    <w:link w:val="af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f">
    <w:name w:val="引用 字符"/>
    <w:basedOn w:val="a0"/>
    <w:link w:val="ae"/>
    <w:uiPriority w:val="29"/>
    <w:rPr>
      <w:i/>
      <w:iCs/>
      <w:color w:val="404040" w:themeColor="text1" w:themeTint="BF"/>
    </w:rPr>
  </w:style>
  <w:style w:type="paragraph" w:styleId="af0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f1">
    <w:name w:val="Intense Quote"/>
    <w:basedOn w:val="a"/>
    <w:next w:val="a"/>
    <w:link w:val="af2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2">
    <w:name w:val="明显引用 字符"/>
    <w:basedOn w:val="a0"/>
    <w:link w:val="af1"/>
    <w:uiPriority w:val="30"/>
    <w:qFormat/>
    <w:rPr>
      <w:i/>
      <w:iCs/>
      <w:color w:val="2F5496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a6">
    <w:name w:val="页脚 字符"/>
    <w:basedOn w:val="a0"/>
    <w:link w:val="a5"/>
    <w:uiPriority w:val="99"/>
  </w:style>
  <w:style w:type="paragraph" w:customStyle="1" w:styleId="13">
    <w:name w:val="修订1"/>
    <w:hidden/>
    <w:uiPriority w:val="99"/>
    <w:semiHidden/>
    <w:rPr>
      <w:kern w:val="2"/>
      <w:sz w:val="24"/>
      <w:szCs w:val="24"/>
      <w:lang w:eastAsia="en-US"/>
      <w14:ligatures w14:val="standardContextual"/>
    </w:rPr>
  </w:style>
  <w:style w:type="character" w:customStyle="1" w:styleId="a4">
    <w:name w:val="批注文字 字符"/>
    <w:basedOn w:val="a0"/>
    <w:link w:val="a3"/>
    <w:uiPriority w:val="99"/>
    <w:rPr>
      <w:sz w:val="20"/>
      <w:szCs w:val="20"/>
    </w:rPr>
  </w:style>
  <w:style w:type="character" w:customStyle="1" w:styleId="ac">
    <w:name w:val="批注主题 字符"/>
    <w:basedOn w:val="a4"/>
    <w:link w:val="ab"/>
    <w:uiPriority w:val="99"/>
    <w:semiHidden/>
    <w:rPr>
      <w:b/>
      <w:bCs/>
      <w:sz w:val="20"/>
      <w:szCs w:val="20"/>
    </w:rPr>
  </w:style>
  <w:style w:type="paragraph" w:styleId="af3">
    <w:name w:val="header"/>
    <w:basedOn w:val="a"/>
    <w:link w:val="af4"/>
    <w:uiPriority w:val="99"/>
    <w:unhideWhenUsed/>
    <w:rsid w:val="00A82AD3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f4">
    <w:name w:val="页眉 字符"/>
    <w:basedOn w:val="a0"/>
    <w:link w:val="af3"/>
    <w:uiPriority w:val="99"/>
    <w:rsid w:val="00A82AD3"/>
    <w:rPr>
      <w:kern w:val="2"/>
      <w:sz w:val="18"/>
      <w:szCs w:val="18"/>
      <w:lang w:eastAsia="en-US"/>
      <w14:ligatures w14:val="standardContextual"/>
    </w:rPr>
  </w:style>
  <w:style w:type="table" w:customStyle="1" w:styleId="af5">
    <w:name w:val="三线表"/>
    <w:basedOn w:val="a1"/>
    <w:uiPriority w:val="99"/>
    <w:rsid w:val="00A21C36"/>
    <w:rPr>
      <w:kern w:val="2"/>
      <w:sz w:val="21"/>
      <w:szCs w:val="24"/>
    </w:rPr>
    <w:tblPr>
      <w:tblBorders>
        <w:top w:val="single" w:sz="4" w:space="0" w:color="auto"/>
        <w:bottom w:val="single" w:sz="4" w:space="0" w:color="auto"/>
      </w:tblBorders>
    </w:tblPr>
    <w:tblStylePr w:type="firstRow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paragraph" w:styleId="af6">
    <w:name w:val="Revision"/>
    <w:hidden/>
    <w:uiPriority w:val="99"/>
    <w:unhideWhenUsed/>
    <w:rsid w:val="00885E06"/>
    <w:rPr>
      <w:kern w:val="2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926</Words>
  <Characters>5281</Characters>
  <Application>Microsoft Office Word</Application>
  <DocSecurity>0</DocSecurity>
  <Lines>44</Lines>
  <Paragraphs>12</Paragraphs>
  <ScaleCrop>false</ScaleCrop>
  <Company/>
  <LinksUpToDate>false</LinksUpToDate>
  <CharactersWithSpaces>6195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佳明 吴</cp:lastModifiedBy>
  <cp:revision>23</cp:revision>
  <dcterms:created xsi:type="dcterms:W3CDTF">2025-09-17T17:33:00Z</dcterms:created>
  <dcterms:modified xsi:type="dcterms:W3CDTF">2025-10-24T06:34:00Z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aa8b87e3-8d60-4691-98f6-5c89938cddd8</vt:lpwstr>
  </property>
  <property fmtid="{D5CDD505-2E9C-101B-9397-08002B2CF9AE}" pid="3" name="KSOTemplateDocerSaveRecord">
    <vt:lpwstr>eyJoZGlkIjoiYWE5MmE1NWExNDI2MDMxMTNmZjVkNzM4ZDIyNjQ1ZTMiLCJ1c2VySWQiOiI5NTA2OTQ5NzIifQ==</vt:lpwstr>
  </property>
  <property fmtid="{D5CDD505-2E9C-101B-9397-08002B2CF9AE}" pid="4" name="KSOProductBuildVer">
    <vt:lpwstr>2052-12.1.0.22529</vt:lpwstr>
  </property>
  <property fmtid="{D5CDD505-2E9C-101B-9397-08002B2CF9AE}" pid="5" name="ICV">
    <vt:lpwstr>DE5A2C3E77FB49588C76228C48834C07_12</vt:lpwstr>
  </property>
</Properties>
</file>